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"/>
        <w:tblW w:w="9214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50"/>
        <w:gridCol w:w="2585"/>
      </w:tblGrid>
      <w:tr w:rsidR="00253DA3" w:rsidRPr="00E14ED4" w:rsidTr="00D40BD0">
        <w:tc>
          <w:tcPr>
            <w:tcW w:w="6379" w:type="dxa"/>
          </w:tcPr>
          <w:p w:rsidR="00253DA3" w:rsidRPr="00E14ED4" w:rsidRDefault="00253DA3" w:rsidP="00D40BD0">
            <w:pPr>
              <w:pStyle w:val="Antet"/>
              <w:rPr>
                <w:rFonts w:ascii="Times New Roman" w:hAnsi="Times New Roman" w:cs="Times New Roman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  <w:r w:rsidRPr="00E14ED4"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AGENȚIA  PROPRIETĂȚII  PUBLICE </w:t>
            </w:r>
          </w:p>
        </w:tc>
        <w:tc>
          <w:tcPr>
            <w:tcW w:w="250" w:type="dxa"/>
          </w:tcPr>
          <w:p w:rsidR="00253DA3" w:rsidRPr="00E14ED4" w:rsidRDefault="00253DA3" w:rsidP="00D40BD0">
            <w:pPr>
              <w:pStyle w:val="Antet"/>
              <w:rPr>
                <w:rFonts w:ascii="Times New Roman" w:hAnsi="Times New Roman" w:cs="Times New Roman"/>
                <w:b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585" w:type="dxa"/>
          </w:tcPr>
          <w:p w:rsidR="00253DA3" w:rsidRPr="00E14ED4" w:rsidRDefault="00253DA3" w:rsidP="00D40BD0">
            <w:pPr>
              <w:pStyle w:val="Antet"/>
              <w:jc w:val="right"/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14ED4">
              <w:rPr>
                <w:rFonts w:ascii="Times New Roman" w:hAnsi="Times New Roman" w:cs="Times New Roman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PROFIL</w:t>
            </w:r>
          </w:p>
        </w:tc>
      </w:tr>
    </w:tbl>
    <w:p w:rsidR="00253DA3" w:rsidRDefault="00253DA3" w:rsidP="00253DA3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 w:eastAsia="ro-MD"/>
        </w:rPr>
      </w:pPr>
    </w:p>
    <w:p w:rsidR="00253DA3" w:rsidRPr="00AD410A" w:rsidRDefault="00253DA3" w:rsidP="00253DA3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MD" w:eastAsia="ro-MD"/>
        </w:rPr>
      </w:pPr>
    </w:p>
    <w:p w:rsidR="00253DA3" w:rsidRDefault="00253DA3" w:rsidP="00253DA3">
      <w:pPr>
        <w:shd w:val="clear" w:color="auto" w:fill="EAF1DD" w:themeFill="accent3" w:themeFillTint="33"/>
        <w:spacing w:after="0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MD" w:eastAsia="ro-MD"/>
        </w:rPr>
      </w:pPr>
      <w:r w:rsidRPr="005D0FE9">
        <w:rPr>
          <w:rFonts w:ascii="Times New Roman" w:eastAsia="Times New Roman" w:hAnsi="Times New Roman" w:cs="Times New Roman"/>
          <w:b/>
          <w:u w:val="single"/>
          <w:lang w:val="ro-MD" w:eastAsia="ro-MD"/>
        </w:rPr>
        <w:t>Complex de bunuri</w:t>
      </w:r>
      <w:r w:rsidRPr="005D0FE9">
        <w:rPr>
          <w:rFonts w:ascii="Times New Roman" w:eastAsia="Times New Roman" w:hAnsi="Times New Roman" w:cs="Times New Roman"/>
          <w:b/>
          <w:bCs/>
          <w:lang w:val="ro-MD" w:eastAsia="ro-MD"/>
        </w:rPr>
        <w:br/>
      </w:r>
      <w:r w:rsidRPr="007A38AF">
        <w:rPr>
          <w:rFonts w:ascii="Times New Roman" w:eastAsia="Times New Roman" w:hAnsi="Times New Roman" w:cs="Times New Roman"/>
          <w:b/>
          <w:sz w:val="20"/>
          <w:szCs w:val="20"/>
          <w:lang w:val="ro-MD" w:eastAsia="ro-MD"/>
        </w:rPr>
        <w:t xml:space="preserve">Clădire administrativă </w:t>
      </w:r>
      <w:r>
        <w:rPr>
          <w:rFonts w:ascii="Times New Roman" w:eastAsia="Times New Roman" w:hAnsi="Times New Roman" w:cs="Times New Roman"/>
          <w:b/>
          <w:sz w:val="20"/>
          <w:szCs w:val="20"/>
          <w:lang w:val="ro-MD" w:eastAsia="ro-MD"/>
        </w:rPr>
        <w:t xml:space="preserve">cu construcții auxiliare, cu număr cadastral </w:t>
      </w:r>
      <w:r w:rsidRPr="007A38AF">
        <w:rPr>
          <w:rFonts w:ascii="Times New Roman" w:eastAsia="Times New Roman" w:hAnsi="Times New Roman" w:cs="Times New Roman"/>
          <w:b/>
          <w:sz w:val="20"/>
          <w:szCs w:val="20"/>
          <w:lang w:val="ro-MD" w:eastAsia="ro-MD"/>
        </w:rPr>
        <w:t>7801110.298</w:t>
      </w:r>
      <w:r>
        <w:rPr>
          <w:rFonts w:ascii="Times New Roman" w:eastAsia="Times New Roman" w:hAnsi="Times New Roman" w:cs="Times New Roman"/>
          <w:b/>
          <w:sz w:val="20"/>
          <w:szCs w:val="20"/>
          <w:lang w:val="ro-MD" w:eastAsia="ro-MD"/>
        </w:rPr>
        <w:t>. 01 - 06, cu suprafața totală de 641,3 m</w:t>
      </w:r>
      <w:r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val="ro-MD" w:eastAsia="ro-MD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val="ro-MD" w:eastAsia="ro-MD"/>
        </w:rPr>
        <w:t xml:space="preserve"> și teren aferent, </w:t>
      </w:r>
      <w:r w:rsidRPr="007A38AF">
        <w:rPr>
          <w:rFonts w:ascii="Times New Roman" w:eastAsia="Times New Roman" w:hAnsi="Times New Roman" w:cs="Times New Roman"/>
          <w:b/>
          <w:sz w:val="20"/>
          <w:szCs w:val="20"/>
          <w:lang w:val="ro-MD" w:eastAsia="ro-MD"/>
        </w:rPr>
        <w:t>cu suprafaţa de 0,1078 ha (număr cadastral 780111.298)</w:t>
      </w:r>
      <w:r>
        <w:rPr>
          <w:rFonts w:ascii="Times New Roman" w:eastAsia="Times New Roman" w:hAnsi="Times New Roman" w:cs="Times New Roman"/>
          <w:b/>
          <w:sz w:val="20"/>
          <w:szCs w:val="20"/>
          <w:lang w:val="ro-MD" w:eastAsia="ro-MD"/>
        </w:rPr>
        <w:t>,</w:t>
      </w:r>
    </w:p>
    <w:p w:rsidR="00253DA3" w:rsidRPr="005D0FE9" w:rsidRDefault="00253DA3" w:rsidP="00253DA3">
      <w:pPr>
        <w:shd w:val="clear" w:color="auto" w:fill="EAF1DD" w:themeFill="accent3" w:themeFillTint="33"/>
        <w:spacing w:after="0"/>
        <w:ind w:right="-142"/>
        <w:jc w:val="center"/>
        <w:rPr>
          <w:rFonts w:ascii="Times New Roman" w:hAnsi="Times New Roman" w:cs="Times New Roman"/>
          <w:b/>
          <w:lang w:val="ro-RO"/>
        </w:rPr>
      </w:pPr>
      <w:r w:rsidRPr="005D0FE9">
        <w:rPr>
          <w:rFonts w:ascii="Times New Roman" w:eastAsia="Times New Roman" w:hAnsi="Times New Roman" w:cs="Times New Roman"/>
          <w:b/>
          <w:lang w:val="ro-MD" w:eastAsia="ro-MD"/>
        </w:rPr>
        <w:t>mun.</w:t>
      </w:r>
      <w:r>
        <w:rPr>
          <w:rFonts w:ascii="Times New Roman" w:eastAsia="Times New Roman" w:hAnsi="Times New Roman" w:cs="Times New Roman"/>
          <w:b/>
          <w:lang w:val="ro-MD" w:eastAsia="ro-MD"/>
        </w:rPr>
        <w:t xml:space="preserve"> </w:t>
      </w:r>
      <w:r w:rsidRPr="005D0FE9">
        <w:rPr>
          <w:rFonts w:ascii="Times New Roman" w:eastAsia="Times New Roman" w:hAnsi="Times New Roman" w:cs="Times New Roman"/>
          <w:b/>
          <w:lang w:val="ro-MD" w:eastAsia="ro-MD"/>
        </w:rPr>
        <w:t>Soroca, str-la Bolintineanu, 58</w:t>
      </w:r>
    </w:p>
    <w:p w:rsidR="00253DA3" w:rsidRPr="00260A14" w:rsidRDefault="00253DA3" w:rsidP="00253DA3">
      <w:pPr>
        <w:spacing w:after="0"/>
        <w:jc w:val="both"/>
        <w:rPr>
          <w:rFonts w:ascii="Times New Roman" w:hAnsi="Times New Roman" w:cs="Times New Roman"/>
          <w:b/>
          <w:color w:val="FF0000"/>
          <w:sz w:val="16"/>
          <w:szCs w:val="16"/>
          <w:lang w:val="ro-RO"/>
        </w:rPr>
      </w:pPr>
    </w:p>
    <w:p w:rsidR="00253DA3" w:rsidRPr="00260A14" w:rsidRDefault="00253DA3" w:rsidP="00253DA3">
      <w:pPr>
        <w:spacing w:after="0"/>
        <w:jc w:val="both"/>
        <w:rPr>
          <w:rFonts w:ascii="Times New Roman" w:hAnsi="Times New Roman" w:cs="Times New Roman"/>
          <w:b/>
          <w:color w:val="FF0000"/>
          <w:sz w:val="16"/>
          <w:szCs w:val="16"/>
          <w:lang w:val="ro-RO"/>
        </w:rPr>
      </w:pPr>
    </w:p>
    <w:tbl>
      <w:tblPr>
        <w:tblStyle w:val="Tabelgril"/>
        <w:tblW w:w="8930" w:type="dxa"/>
        <w:tblInd w:w="137" w:type="dxa"/>
        <w:shd w:val="clear" w:color="auto" w:fill="404040" w:themeFill="text1" w:themeFillTint="BF"/>
        <w:tblLayout w:type="fixed"/>
        <w:tblLook w:val="04A0" w:firstRow="1" w:lastRow="0" w:firstColumn="1" w:lastColumn="0" w:noHBand="0" w:noVBand="1"/>
      </w:tblPr>
      <w:tblGrid>
        <w:gridCol w:w="2552"/>
        <w:gridCol w:w="6378"/>
      </w:tblGrid>
      <w:tr w:rsidR="00253DA3" w:rsidRPr="00B542DA" w:rsidTr="00D40BD0">
        <w:trPr>
          <w:trHeight w:val="225"/>
        </w:trPr>
        <w:tc>
          <w:tcPr>
            <w:tcW w:w="8930" w:type="dxa"/>
            <w:gridSpan w:val="2"/>
            <w:shd w:val="clear" w:color="auto" w:fill="92CDDC" w:themeFill="accent5" w:themeFillTint="99"/>
            <w:vAlign w:val="center"/>
          </w:tcPr>
          <w:p w:rsidR="00253DA3" w:rsidRPr="00B542DA" w:rsidRDefault="00253DA3" w:rsidP="00D40BD0">
            <w:pPr>
              <w:rPr>
                <w:rFonts w:ascii="Times New Roman" w:hAnsi="Times New Roman" w:cs="Times New Roman"/>
                <w:b/>
                <w:caps/>
                <w:color w:val="1D1B11" w:themeColor="background2" w:themeShade="1A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542DA">
              <w:rPr>
                <w:rFonts w:ascii="Times New Roman" w:hAnsi="Times New Roman" w:cs="Times New Roman"/>
                <w:b/>
                <w:caps/>
                <w:color w:val="FF0000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Aspecte  generale</w:t>
            </w:r>
          </w:p>
        </w:tc>
      </w:tr>
      <w:tr w:rsidR="00253DA3" w:rsidRPr="00253DA3" w:rsidTr="00253DA3">
        <w:tblPrEx>
          <w:shd w:val="clear" w:color="auto" w:fill="auto"/>
        </w:tblPrEx>
        <w:trPr>
          <w:trHeight w:val="739"/>
        </w:trPr>
        <w:tc>
          <w:tcPr>
            <w:tcW w:w="2552" w:type="dxa"/>
            <w:vAlign w:val="center"/>
          </w:tcPr>
          <w:p w:rsidR="00253DA3" w:rsidRPr="004550C7" w:rsidRDefault="00253DA3" w:rsidP="00D40BD0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550C7">
              <w:rPr>
                <w:rFonts w:ascii="Times New Roman" w:hAnsi="Times New Roman" w:cs="Times New Roman"/>
                <w:b/>
                <w:lang w:val="ro-RO"/>
              </w:rPr>
              <w:t>Denumirea:</w:t>
            </w:r>
          </w:p>
          <w:p w:rsidR="00253DA3" w:rsidRPr="004550C7" w:rsidRDefault="00253DA3" w:rsidP="00D40BD0">
            <w:pPr>
              <w:spacing w:line="276" w:lineRule="auto"/>
              <w:ind w:right="-108"/>
              <w:rPr>
                <w:rFonts w:ascii="Times New Roman" w:hAnsi="Times New Roman" w:cs="Times New Roman"/>
                <w:sz w:val="14"/>
                <w:szCs w:val="14"/>
                <w:lang w:val="ro-RO"/>
              </w:rPr>
            </w:pPr>
            <w:r w:rsidRPr="004550C7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Poz. </w:t>
            </w:r>
            <w:r w:rsidRPr="003E7E7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  <w:r w:rsidRPr="003E7E7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21</w:t>
            </w:r>
            <w:r w:rsidRPr="004550C7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 din lista-an</w:t>
            </w:r>
            <w:r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>.</w:t>
            </w:r>
            <w:r w:rsidRPr="004550C7">
              <w:rPr>
                <w:rFonts w:ascii="Times New Roman" w:hAnsi="Times New Roman" w:cs="Times New Roman"/>
                <w:sz w:val="14"/>
                <w:szCs w:val="14"/>
                <w:lang w:val="ro-RO"/>
              </w:rPr>
              <w:t xml:space="preserve"> 2 la HG 945/2007</w:t>
            </w:r>
          </w:p>
        </w:tc>
        <w:tc>
          <w:tcPr>
            <w:tcW w:w="6378" w:type="dxa"/>
            <w:shd w:val="clear" w:color="auto" w:fill="auto"/>
          </w:tcPr>
          <w:p w:rsidR="00253DA3" w:rsidRPr="00253DA3" w:rsidRDefault="00253DA3" w:rsidP="00D40BD0">
            <w:pPr>
              <w:pStyle w:val="Frspaiere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</w:pP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Complex de bunuri</w:t>
            </w:r>
            <w:r w:rsidRPr="00253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o-MD" w:eastAsia="ro-MD"/>
              </w:rPr>
              <w:br/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Clădire administrativă – 477,4 m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 w:eastAsia="ro-MD"/>
              </w:rPr>
              <w:t xml:space="preserve">2 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(număr cadastral 7801110.298.01), garaj – 58,3 m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 w:eastAsia="ro-MD"/>
              </w:rPr>
              <w:t xml:space="preserve">2 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(număr cadastral 7801110.298.02), garaj – 61,7 m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 w:eastAsia="ro-MD"/>
              </w:rPr>
              <w:t xml:space="preserve">2 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(număr cadastral 7801110.298.03), depozit – 12,0 m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 w:eastAsia="ro-MD"/>
              </w:rPr>
              <w:t xml:space="preserve">2 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(număr cadastral 7801110.298.04), depozit – 13,9 m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 w:eastAsia="ro-MD"/>
              </w:rPr>
              <w:t xml:space="preserve">2 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(număr cadastral 7801110.298.05), depozit – 18,0 m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 w:eastAsia="ro-MD"/>
              </w:rPr>
              <w:t xml:space="preserve">2 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(număr cadastral 7801110.298.06), WC – 2.8 m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 w:eastAsia="ro-MD"/>
              </w:rPr>
              <w:t xml:space="preserve">2 </w:t>
            </w:r>
            <w:r w:rsidRPr="00253DA3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o-MD"/>
              </w:rPr>
              <w:t>(neînregistrat) şi terenul cu suprafaţa de 0,1078 ha (număr cadastral 780111.298)</w:t>
            </w:r>
          </w:p>
        </w:tc>
      </w:tr>
      <w:tr w:rsidR="00253DA3" w:rsidRPr="00253DA3" w:rsidTr="00253DA3">
        <w:tblPrEx>
          <w:shd w:val="clear" w:color="auto" w:fill="auto"/>
        </w:tblPrEx>
        <w:trPr>
          <w:trHeight w:val="77"/>
        </w:trPr>
        <w:tc>
          <w:tcPr>
            <w:tcW w:w="2552" w:type="dxa"/>
            <w:vAlign w:val="center"/>
          </w:tcPr>
          <w:p w:rsidR="00253DA3" w:rsidRPr="004550C7" w:rsidRDefault="00253DA3" w:rsidP="00D40BD0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550C7">
              <w:rPr>
                <w:rFonts w:ascii="Times New Roman" w:hAnsi="Times New Roman" w:cs="Times New Roman"/>
                <w:b/>
                <w:lang w:val="ro-RO"/>
              </w:rPr>
              <w:t xml:space="preserve">Adresa: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rPr>
                <w:rFonts w:ascii="Times New Roman" w:hAnsi="Times New Roman" w:cs="Times New Roman"/>
                <w:lang w:val="ro-MD"/>
              </w:rPr>
            </w:pPr>
            <w:r w:rsidRPr="00253DA3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MD"/>
              </w:rPr>
              <w:t>mun. Soroca, str-la Bolintineanu, 58</w:t>
            </w:r>
          </w:p>
        </w:tc>
      </w:tr>
      <w:tr w:rsidR="00253DA3" w:rsidRPr="00253DA3" w:rsidTr="00253DA3">
        <w:tblPrEx>
          <w:shd w:val="clear" w:color="auto" w:fill="auto"/>
        </w:tblPrEx>
        <w:trPr>
          <w:trHeight w:val="338"/>
        </w:trPr>
        <w:tc>
          <w:tcPr>
            <w:tcW w:w="2552" w:type="dxa"/>
            <w:vAlign w:val="center"/>
          </w:tcPr>
          <w:p w:rsidR="00253DA3" w:rsidRDefault="00253DA3" w:rsidP="00D40BD0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4550C7">
              <w:rPr>
                <w:rFonts w:ascii="Times New Roman" w:hAnsi="Times New Roman" w:cs="Times New Roman"/>
                <w:b/>
                <w:lang w:val="ro-RO"/>
              </w:rPr>
              <w:t>Proprietar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: </w:t>
            </w:r>
          </w:p>
          <w:p w:rsidR="00253DA3" w:rsidRPr="004550C7" w:rsidRDefault="00253DA3" w:rsidP="00D40BD0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303B73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teren, construcții</w:t>
            </w:r>
            <w:r w:rsidRPr="00303B73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>Republica Moldova</w:t>
            </w:r>
          </w:p>
          <w:p w:rsidR="00253DA3" w:rsidRPr="00253DA3" w:rsidRDefault="00253DA3" w:rsidP="00D40BD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53DA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(</w:t>
            </w:r>
            <w:r w:rsidRPr="00253DA3">
              <w:rPr>
                <w:rFonts w:ascii="Arial CE" w:eastAsia="Times New Roman" w:hAnsi="Arial CE" w:cs="Arial CE"/>
                <w:bCs/>
                <w:sz w:val="16"/>
                <w:szCs w:val="16"/>
                <w:lang w:val="ro-MD" w:eastAsia="ro-MD"/>
              </w:rPr>
              <w:t xml:space="preserve">Legea Cadastrului bunurilor imobile nr. 1543/1998); </w:t>
            </w:r>
          </w:p>
          <w:p w:rsidR="00253DA3" w:rsidRPr="00253DA3" w:rsidRDefault="00253DA3" w:rsidP="00D40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3DA3" w:rsidRPr="00253DA3" w:rsidTr="00253DA3">
        <w:tblPrEx>
          <w:shd w:val="clear" w:color="auto" w:fill="auto"/>
        </w:tblPrEx>
        <w:trPr>
          <w:trHeight w:val="338"/>
        </w:trPr>
        <w:tc>
          <w:tcPr>
            <w:tcW w:w="2552" w:type="dxa"/>
            <w:vAlign w:val="center"/>
          </w:tcPr>
          <w:p w:rsidR="00253DA3" w:rsidRPr="00645F4E" w:rsidRDefault="00253DA3" w:rsidP="00D40BD0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 xml:space="preserve">Gestiune economică </w:t>
            </w:r>
          </w:p>
          <w:p w:rsidR="00253DA3" w:rsidRPr="00645F4E" w:rsidRDefault="00253DA3" w:rsidP="00D40BD0">
            <w:pPr>
              <w:spacing w:line="276" w:lineRule="auto"/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i/>
                <w:sz w:val="18"/>
                <w:szCs w:val="18"/>
                <w:lang w:val="ro-RO"/>
              </w:rPr>
              <w:t>(teren, construcții)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 xml:space="preserve">Direcția Situații Excepționale r-nul Soroca </w:t>
            </w:r>
          </w:p>
          <w:p w:rsidR="00253DA3" w:rsidRPr="00253DA3" w:rsidRDefault="00253DA3" w:rsidP="00D40BD0">
            <w:pPr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253DA3">
              <w:rPr>
                <w:rFonts w:ascii="Arial CE" w:eastAsia="Times New Roman" w:hAnsi="Arial CE" w:cs="Arial CE"/>
                <w:bCs/>
                <w:sz w:val="16"/>
                <w:szCs w:val="16"/>
                <w:lang w:val="ro-MD" w:eastAsia="ro-MD"/>
              </w:rPr>
              <w:t>(Hotărîrea Guvernului Nr. 541 din 02.10.1996 (2934-1/01)</w:t>
            </w:r>
            <w:r w:rsidRPr="00253DA3">
              <w:rPr>
                <w:rFonts w:ascii="Arial CE" w:eastAsia="Times New Roman" w:hAnsi="Arial CE" w:cs="Arial CE"/>
                <w:bCs/>
                <w:sz w:val="16"/>
                <w:szCs w:val="16"/>
                <w:lang w:val="ro-MD" w:eastAsia="ro-MD"/>
              </w:rPr>
              <w:br/>
              <w:t>Act de transmitere-primire Nr. f/n din 25.11.1996 (2934-2/01))</w:t>
            </w:r>
          </w:p>
        </w:tc>
      </w:tr>
      <w:tr w:rsidR="00253DA3" w:rsidRPr="00253DA3" w:rsidTr="00D40BD0">
        <w:tblPrEx>
          <w:shd w:val="clear" w:color="auto" w:fill="auto"/>
        </w:tblPrEx>
        <w:trPr>
          <w:trHeight w:val="2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DA3" w:rsidRPr="00645F4E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>Suprafața totală a construcțiilor: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3"/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>641,3 m</w:t>
            </w:r>
            <w:r w:rsidRPr="00253DA3">
              <w:rPr>
                <w:rFonts w:ascii="Times New Roman" w:hAnsi="Times New Roman" w:cs="Times New Roman"/>
                <w:vertAlign w:val="superscript"/>
                <w:lang w:val="ro-RO"/>
              </w:rPr>
              <w:t xml:space="preserve">2  </w:t>
            </w:r>
          </w:p>
        </w:tc>
      </w:tr>
      <w:tr w:rsidR="00253DA3" w:rsidRPr="00253DA3" w:rsidTr="00D40BD0">
        <w:tblPrEx>
          <w:shd w:val="clear" w:color="auto" w:fill="auto"/>
        </w:tblPrEx>
        <w:trPr>
          <w:trHeight w:val="2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DA3" w:rsidRPr="00645F4E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>Anul construcțiilor: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3"/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>1918   (</w:t>
            </w:r>
            <w:r w:rsidRPr="00253DA3">
              <w:rPr>
                <w:rFonts w:ascii="Times New Roman" w:eastAsia="Times New Roman" w:hAnsi="Times New Roman" w:cs="Times New Roman"/>
                <w:lang w:val="ro-MD" w:eastAsia="ro-MD"/>
              </w:rPr>
              <w:t>n/c 7801110.298.01 (liter A, a, A</w:t>
            </w:r>
            <w:r w:rsidRPr="00253DA3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1</w:t>
            </w:r>
            <w:r w:rsidRPr="00253DA3">
              <w:rPr>
                <w:rFonts w:ascii="Times New Roman" w:eastAsia="Times New Roman" w:hAnsi="Times New Roman" w:cs="Times New Roman"/>
                <w:lang w:val="ro-MD" w:eastAsia="ro-MD"/>
              </w:rPr>
              <w:t>, A</w:t>
            </w:r>
            <w:r w:rsidRPr="00253DA3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2</w:t>
            </w:r>
            <w:r w:rsidRPr="00253DA3">
              <w:rPr>
                <w:rFonts w:ascii="Times New Roman" w:eastAsia="Times New Roman" w:hAnsi="Times New Roman" w:cs="Times New Roman"/>
                <w:lang w:val="ro-MD" w:eastAsia="ro-MD"/>
              </w:rPr>
              <w:t>, A</w:t>
            </w:r>
            <w:r w:rsidRPr="00253DA3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3</w:t>
            </w:r>
            <w:r w:rsidRPr="00253DA3">
              <w:rPr>
                <w:rFonts w:ascii="Times New Roman" w:eastAsia="Times New Roman" w:hAnsi="Times New Roman" w:cs="Times New Roman"/>
                <w:lang w:val="ro-MD" w:eastAsia="ro-MD"/>
              </w:rPr>
              <w:t>, A</w:t>
            </w:r>
            <w:r w:rsidRPr="00253DA3">
              <w:rPr>
                <w:rFonts w:ascii="Times New Roman" w:eastAsia="Times New Roman" w:hAnsi="Times New Roman" w:cs="Times New Roman"/>
                <w:vertAlign w:val="superscript"/>
                <w:lang w:val="ro-MD" w:eastAsia="ro-MD"/>
              </w:rPr>
              <w:t>4</w:t>
            </w:r>
            <w:r w:rsidRPr="00253DA3">
              <w:rPr>
                <w:rFonts w:ascii="Times New Roman" w:eastAsia="Times New Roman" w:hAnsi="Times New Roman" w:cs="Times New Roman"/>
                <w:lang w:val="ro-MD" w:eastAsia="ro-MD"/>
              </w:rPr>
              <w:t>, subsol))</w:t>
            </w:r>
          </w:p>
          <w:p w:rsidR="00253DA3" w:rsidRPr="00253DA3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3"/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eastAsia="Times New Roman" w:hAnsi="Times New Roman" w:cs="Times New Roman"/>
                <w:lang w:val="ro-MD" w:eastAsia="ro-MD"/>
              </w:rPr>
              <w:t>1979   (</w:t>
            </w:r>
            <w:r w:rsidRPr="00253DA3">
              <w:rPr>
                <w:rFonts w:ascii="Times New Roman" w:hAnsi="Times New Roman" w:cs="Times New Roman"/>
                <w:lang w:val="ro-RO"/>
              </w:rPr>
              <w:t xml:space="preserve">n/c </w:t>
            </w:r>
            <w:r w:rsidRPr="00253DA3">
              <w:rPr>
                <w:rFonts w:ascii="Times New Roman" w:eastAsia="Times New Roman" w:hAnsi="Times New Roman" w:cs="Times New Roman"/>
                <w:lang w:val="ro-MD" w:eastAsia="ro-MD"/>
              </w:rPr>
              <w:t>7801110.298.02-06)</w:t>
            </w:r>
          </w:p>
        </w:tc>
      </w:tr>
      <w:tr w:rsidR="00253DA3" w:rsidRPr="00253DA3" w:rsidTr="00D40BD0">
        <w:tblPrEx>
          <w:shd w:val="clear" w:color="auto" w:fill="auto"/>
        </w:tblPrEx>
        <w:trPr>
          <w:trHeight w:val="2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DA3" w:rsidRPr="00645F4E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>Utilizarea construcțiilor: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>Remiză de pompieri - clădire administrativă cu construcții auxiliare, curent - nu se utilizează.</w:t>
            </w:r>
          </w:p>
        </w:tc>
      </w:tr>
      <w:tr w:rsidR="00253DA3" w:rsidRPr="00253DA3" w:rsidTr="00D40BD0">
        <w:tblPrEx>
          <w:shd w:val="clear" w:color="auto" w:fill="auto"/>
        </w:tblPrEx>
        <w:trPr>
          <w:trHeight w:val="204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3DA3" w:rsidRPr="00645F4E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 xml:space="preserve">Starea construcțiilor: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 xml:space="preserve">Starea tehnică a fundațiilor, pereților, planșeelor este rea, obiectul se ruinează, elementele constructive sunt deteriorate </w:t>
            </w:r>
          </w:p>
        </w:tc>
      </w:tr>
      <w:tr w:rsidR="00253DA3" w:rsidRPr="00253DA3" w:rsidTr="00D40BD0">
        <w:tblPrEx>
          <w:shd w:val="clear" w:color="auto" w:fill="auto"/>
        </w:tblPrEx>
        <w:trPr>
          <w:trHeight w:val="56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3DA3" w:rsidRPr="00645F4E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>Rețele existente: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ind w:right="-108"/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 xml:space="preserve">Electricitate, apeduct (trasate pe teren, deconectate), canalizare - pe teritoriu </w:t>
            </w:r>
          </w:p>
        </w:tc>
      </w:tr>
      <w:tr w:rsidR="00253DA3" w:rsidRPr="00253DA3" w:rsidTr="00253DA3">
        <w:tblPrEx>
          <w:shd w:val="clear" w:color="auto" w:fill="auto"/>
        </w:tblPrEx>
        <w:trPr>
          <w:trHeight w:val="202"/>
        </w:trPr>
        <w:tc>
          <w:tcPr>
            <w:tcW w:w="2552" w:type="dxa"/>
            <w:shd w:val="clear" w:color="auto" w:fill="auto"/>
            <w:vAlign w:val="center"/>
          </w:tcPr>
          <w:p w:rsidR="00253DA3" w:rsidRPr="00645F4E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>Suprafața terenului: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>0,1078 ha  (10,78 ari)</w:t>
            </w:r>
          </w:p>
        </w:tc>
      </w:tr>
      <w:tr w:rsidR="00253DA3" w:rsidRPr="00253DA3" w:rsidTr="00D40BD0">
        <w:tblPrEx>
          <w:shd w:val="clear" w:color="auto" w:fill="auto"/>
        </w:tblPrEx>
        <w:trPr>
          <w:trHeight w:val="192"/>
        </w:trPr>
        <w:tc>
          <w:tcPr>
            <w:tcW w:w="2552" w:type="dxa"/>
            <w:shd w:val="clear" w:color="auto" w:fill="auto"/>
            <w:vAlign w:val="center"/>
          </w:tcPr>
          <w:p w:rsidR="00253DA3" w:rsidRPr="00645F4E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>Locul amplasării: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eastAsia="Times New Roman" w:hAnsi="Times New Roman" w:cs="Times New Roman"/>
                <w:bCs/>
                <w:lang w:val="ro-MD" w:eastAsia="ro-MD"/>
              </w:rPr>
              <w:t>fostul 7801000925</w:t>
            </w:r>
          </w:p>
        </w:tc>
      </w:tr>
      <w:tr w:rsidR="00253DA3" w:rsidRPr="00253DA3" w:rsidTr="00D40BD0">
        <w:tblPrEx>
          <w:shd w:val="clear" w:color="auto" w:fill="auto"/>
        </w:tblPrEx>
        <w:tc>
          <w:tcPr>
            <w:tcW w:w="2552" w:type="dxa"/>
            <w:shd w:val="clear" w:color="auto" w:fill="auto"/>
            <w:vAlign w:val="center"/>
          </w:tcPr>
          <w:p w:rsidR="00253DA3" w:rsidRPr="00645F4E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45F4E">
              <w:rPr>
                <w:rFonts w:ascii="Times New Roman" w:hAnsi="Times New Roman" w:cs="Times New Roman"/>
                <w:b/>
                <w:lang w:val="ro-RO"/>
              </w:rPr>
              <w:t>Modul de folosință: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3D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Destinație specială</w:t>
            </w:r>
            <w:r w:rsidRPr="00253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3DA3" w:rsidRPr="00253DA3" w:rsidRDefault="00253DA3" w:rsidP="00D40BD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DA3">
              <w:rPr>
                <w:rFonts w:ascii="Times New Roman" w:hAnsi="Times New Roman" w:cs="Times New Roman"/>
                <w:sz w:val="24"/>
                <w:szCs w:val="24"/>
              </w:rPr>
              <w:t xml:space="preserve">(n/c 780111.298 - HG 161/2019  an. 2, </w:t>
            </w:r>
            <w:proofErr w:type="spellStart"/>
            <w:r w:rsidRPr="00253DA3">
              <w:rPr>
                <w:rFonts w:ascii="Times New Roman" w:hAnsi="Times New Roman" w:cs="Times New Roman"/>
                <w:sz w:val="24"/>
                <w:szCs w:val="24"/>
              </w:rPr>
              <w:t>poziția</w:t>
            </w:r>
            <w:proofErr w:type="spellEnd"/>
            <w:r w:rsidRPr="00253DA3">
              <w:rPr>
                <w:rFonts w:ascii="Times New Roman" w:hAnsi="Times New Roman" w:cs="Times New Roman"/>
                <w:sz w:val="24"/>
                <w:szCs w:val="24"/>
              </w:rPr>
              <w:t xml:space="preserve"> 504)</w:t>
            </w:r>
          </w:p>
        </w:tc>
      </w:tr>
      <w:tr w:rsidR="00253DA3" w:rsidRPr="00253DA3" w:rsidTr="00253DA3">
        <w:tblPrEx>
          <w:shd w:val="clear" w:color="auto" w:fill="auto"/>
        </w:tblPrEx>
        <w:tc>
          <w:tcPr>
            <w:tcW w:w="2552" w:type="dxa"/>
            <w:vAlign w:val="center"/>
          </w:tcPr>
          <w:p w:rsidR="00253DA3" w:rsidRPr="005710E0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710E0">
              <w:rPr>
                <w:rFonts w:ascii="Times New Roman" w:hAnsi="Times New Roman" w:cs="Times New Roman"/>
                <w:b/>
                <w:lang w:val="ro-RO"/>
              </w:rPr>
              <w:t>Tipul hotarelor: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lang w:val="ro-RO"/>
              </w:rPr>
            </w:pPr>
            <w:r w:rsidRPr="00253DA3">
              <w:rPr>
                <w:rFonts w:ascii="Times New Roman" w:hAnsi="Times New Roman" w:cs="Times New Roman"/>
                <w:lang w:val="ro-RO"/>
              </w:rPr>
              <w:t>generale</w:t>
            </w:r>
          </w:p>
        </w:tc>
      </w:tr>
      <w:tr w:rsidR="00253DA3" w:rsidRPr="00253DA3" w:rsidTr="00D40BD0">
        <w:tblPrEx>
          <w:shd w:val="clear" w:color="auto" w:fill="auto"/>
        </w:tblPrEx>
        <w:tc>
          <w:tcPr>
            <w:tcW w:w="2552" w:type="dxa"/>
            <w:shd w:val="clear" w:color="auto" w:fill="auto"/>
            <w:vAlign w:val="center"/>
          </w:tcPr>
          <w:p w:rsidR="00253DA3" w:rsidRPr="00E840A7" w:rsidRDefault="00253DA3" w:rsidP="00D40BD0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E840A7">
              <w:rPr>
                <w:rFonts w:ascii="Times New Roman" w:hAnsi="Times New Roman" w:cs="Times New Roman"/>
                <w:b/>
                <w:lang w:val="ro-RO"/>
              </w:rPr>
              <w:t>Configurarea terenului: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253DA3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53D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poligon neregulat</w:t>
            </w:r>
          </w:p>
        </w:tc>
      </w:tr>
      <w:tr w:rsidR="00253DA3" w:rsidRPr="00571D23" w:rsidTr="00D40BD0">
        <w:tblPrEx>
          <w:shd w:val="clear" w:color="auto" w:fill="auto"/>
        </w:tblPrEx>
        <w:trPr>
          <w:trHeight w:val="49"/>
        </w:trPr>
        <w:tc>
          <w:tcPr>
            <w:tcW w:w="2552" w:type="dxa"/>
            <w:shd w:val="clear" w:color="auto" w:fill="auto"/>
            <w:vAlign w:val="center"/>
          </w:tcPr>
          <w:p w:rsidR="00253DA3" w:rsidRPr="00E840A7" w:rsidRDefault="00253DA3" w:rsidP="00D40BD0">
            <w:pPr>
              <w:ind w:left="708" w:hanging="708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Drum </w:t>
            </w:r>
            <w:r w:rsidRPr="00E840A7">
              <w:rPr>
                <w:rFonts w:ascii="Times New Roman" w:hAnsi="Times New Roman" w:cs="Times New Roman"/>
                <w:b/>
                <w:lang w:val="ro-RO"/>
              </w:rPr>
              <w:t>de acces: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253DA3" w:rsidRPr="004550C7" w:rsidRDefault="00253DA3" w:rsidP="00D40BD0">
            <w:pPr>
              <w:pStyle w:val="Listparagraf"/>
              <w:numPr>
                <w:ilvl w:val="0"/>
                <w:numId w:val="5"/>
              </w:numPr>
              <w:ind w:left="459" w:hanging="284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drum petruit, din str. Bolintineanu</w:t>
            </w:r>
          </w:p>
        </w:tc>
      </w:tr>
      <w:tr w:rsidR="00253DA3" w:rsidRPr="004D0E96" w:rsidTr="00D40BD0">
        <w:tblPrEx>
          <w:shd w:val="clear" w:color="auto" w:fill="auto"/>
        </w:tblPrEx>
        <w:trPr>
          <w:trHeight w:val="49"/>
        </w:trPr>
        <w:tc>
          <w:tcPr>
            <w:tcW w:w="8930" w:type="dxa"/>
            <w:gridSpan w:val="2"/>
            <w:vAlign w:val="center"/>
          </w:tcPr>
          <w:p w:rsidR="00253DA3" w:rsidRPr="004D0E96" w:rsidRDefault="00253DA3" w:rsidP="00D40BD0">
            <w:pPr>
              <w:rPr>
                <w:rFonts w:ascii="Times New Roman" w:hAnsi="Times New Roman" w:cs="Times New Roman"/>
                <w:lang w:val="ro-RO"/>
              </w:rPr>
            </w:pPr>
            <w:r w:rsidRPr="004D0E96">
              <w:rPr>
                <w:rFonts w:ascii="Times New Roman" w:eastAsia="Times New Roman" w:hAnsi="Times New Roman" w:cs="Times New Roman"/>
                <w:lang w:val="ro-MD" w:eastAsia="ro-MD"/>
              </w:rPr>
              <w:t xml:space="preserve">Complexul de bunuri este dislocat în partea centrală a or. Soroca. În apropiere sunt situate case de locuit individuale, obiecte comerciale și sociale, zonă de odihnă și agrement, obiecte de importanță istorică. Terenul </w:t>
            </w:r>
            <w:r>
              <w:rPr>
                <w:rFonts w:ascii="Times New Roman" w:eastAsia="Times New Roman" w:hAnsi="Times New Roman" w:cs="Times New Roman"/>
                <w:lang w:val="ro-MD" w:eastAsia="ro-MD"/>
              </w:rPr>
              <w:t xml:space="preserve">este </w:t>
            </w:r>
            <w:r w:rsidRPr="004D0E96">
              <w:rPr>
                <w:rFonts w:ascii="Times New Roman" w:eastAsia="Times New Roman" w:hAnsi="Times New Roman" w:cs="Times New Roman"/>
                <w:lang w:val="ro-MD" w:eastAsia="ro-MD"/>
              </w:rPr>
              <w:t xml:space="preserve">îngrădit </w:t>
            </w:r>
            <w:r>
              <w:rPr>
                <w:rFonts w:ascii="Times New Roman" w:eastAsia="Times New Roman" w:hAnsi="Times New Roman" w:cs="Times New Roman"/>
                <w:lang w:val="ro-MD" w:eastAsia="ro-MD"/>
              </w:rPr>
              <w:t>din stradă cu gard din piatră (</w:t>
            </w:r>
            <w:r w:rsidRPr="004D0E96">
              <w:rPr>
                <w:rFonts w:ascii="Times New Roman" w:eastAsia="Times New Roman" w:hAnsi="Times New Roman" w:cs="Times New Roman"/>
                <w:lang w:val="ro-MD" w:eastAsia="ro-MD"/>
              </w:rPr>
              <w:t>practic distrus</w:t>
            </w:r>
            <w:r>
              <w:rPr>
                <w:rFonts w:ascii="Times New Roman" w:eastAsia="Times New Roman" w:hAnsi="Times New Roman" w:cs="Times New Roman"/>
                <w:lang w:val="ro-MD" w:eastAsia="ro-MD"/>
              </w:rPr>
              <w:t xml:space="preserve">, </w:t>
            </w:r>
            <w:r w:rsidRPr="004D0E96">
              <w:rPr>
                <w:rFonts w:ascii="Times New Roman" w:eastAsia="Times New Roman" w:hAnsi="Times New Roman" w:cs="Times New Roman"/>
                <w:lang w:val="ro-MD" w:eastAsia="ro-MD"/>
              </w:rPr>
              <w:t>a rămas doar fundația și poarata de metal)</w:t>
            </w:r>
            <w:r>
              <w:rPr>
                <w:rFonts w:ascii="Times New Roman" w:eastAsia="Times New Roman" w:hAnsi="Times New Roman" w:cs="Times New Roman"/>
                <w:lang w:val="ro-MD" w:eastAsia="ro-MD"/>
              </w:rPr>
              <w:t>.</w:t>
            </w:r>
          </w:p>
        </w:tc>
      </w:tr>
    </w:tbl>
    <w:p w:rsidR="000352E6" w:rsidRPr="00253DA3" w:rsidRDefault="000352E6" w:rsidP="00253DA3"/>
    <w:sectPr w:rsidR="000352E6" w:rsidRPr="00253DA3" w:rsidSect="004D0E96">
      <w:footerReference w:type="default" r:id="rId8"/>
      <w:pgSz w:w="11906" w:h="16838" w:code="9"/>
      <w:pgMar w:top="1134" w:right="991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E48" w:rsidRDefault="00F20E48" w:rsidP="00EF39E6">
      <w:pPr>
        <w:spacing w:after="0" w:line="240" w:lineRule="auto"/>
      </w:pPr>
      <w:r>
        <w:separator/>
      </w:r>
    </w:p>
  </w:endnote>
  <w:endnote w:type="continuationSeparator" w:id="0">
    <w:p w:rsidR="00F20E48" w:rsidRDefault="00F20E48" w:rsidP="00EF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E">
    <w:altName w:val="Arial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197065"/>
      <w:docPartObj>
        <w:docPartGallery w:val="Page Numbers (Bottom of Page)"/>
        <w:docPartUnique/>
      </w:docPartObj>
    </w:sdtPr>
    <w:sdtEndPr/>
    <w:sdtContent>
      <w:p w:rsidR="002E20F7" w:rsidRDefault="002E20F7" w:rsidP="0034327C">
        <w:pPr>
          <w:pStyle w:val="Subsol"/>
          <w:jc w:val="right"/>
        </w:pPr>
      </w:p>
      <w:p w:rsidR="002E20F7" w:rsidRPr="0034327C" w:rsidRDefault="00F20E48" w:rsidP="0034327C">
        <w:pPr>
          <w:pStyle w:val="Subsol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E48" w:rsidRDefault="00F20E48" w:rsidP="00EF39E6">
      <w:pPr>
        <w:spacing w:after="0" w:line="240" w:lineRule="auto"/>
      </w:pPr>
      <w:r>
        <w:separator/>
      </w:r>
    </w:p>
  </w:footnote>
  <w:footnote w:type="continuationSeparator" w:id="0">
    <w:p w:rsidR="00F20E48" w:rsidRDefault="00F20E48" w:rsidP="00EF3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F09BC"/>
    <w:multiLevelType w:val="hybridMultilevel"/>
    <w:tmpl w:val="4F142C5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164E4"/>
    <w:multiLevelType w:val="hybridMultilevel"/>
    <w:tmpl w:val="B3FEB3E4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1CE9"/>
    <w:multiLevelType w:val="hybridMultilevel"/>
    <w:tmpl w:val="4592626C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E6774"/>
    <w:multiLevelType w:val="hybridMultilevel"/>
    <w:tmpl w:val="39FCCA48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20A65"/>
    <w:multiLevelType w:val="hybridMultilevel"/>
    <w:tmpl w:val="DDE2A7F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B3AA3"/>
    <w:multiLevelType w:val="hybridMultilevel"/>
    <w:tmpl w:val="D8C0F2D8"/>
    <w:lvl w:ilvl="0" w:tplc="F216F378">
      <w:start w:val="2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51193"/>
    <w:multiLevelType w:val="hybridMultilevel"/>
    <w:tmpl w:val="8786A538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85579"/>
    <w:multiLevelType w:val="hybridMultilevel"/>
    <w:tmpl w:val="8D84725A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35CF1"/>
    <w:multiLevelType w:val="hybridMultilevel"/>
    <w:tmpl w:val="9B58FA60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D74A1"/>
    <w:multiLevelType w:val="hybridMultilevel"/>
    <w:tmpl w:val="2DE63EAE"/>
    <w:lvl w:ilvl="0" w:tplc="3F9E058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3347D"/>
    <w:multiLevelType w:val="hybridMultilevel"/>
    <w:tmpl w:val="95C89ACA"/>
    <w:lvl w:ilvl="0" w:tplc="08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34342"/>
    <w:multiLevelType w:val="hybridMultilevel"/>
    <w:tmpl w:val="8C0C0B82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E6"/>
    <w:rsid w:val="000043E6"/>
    <w:rsid w:val="00006468"/>
    <w:rsid w:val="00006A47"/>
    <w:rsid w:val="0001047C"/>
    <w:rsid w:val="000124D6"/>
    <w:rsid w:val="000157BF"/>
    <w:rsid w:val="000211AB"/>
    <w:rsid w:val="000228AC"/>
    <w:rsid w:val="00024036"/>
    <w:rsid w:val="00030F43"/>
    <w:rsid w:val="00033168"/>
    <w:rsid w:val="00034BAA"/>
    <w:rsid w:val="000352E6"/>
    <w:rsid w:val="000364CB"/>
    <w:rsid w:val="00036A98"/>
    <w:rsid w:val="00037E61"/>
    <w:rsid w:val="0004158B"/>
    <w:rsid w:val="00043BCC"/>
    <w:rsid w:val="0004794C"/>
    <w:rsid w:val="000506C3"/>
    <w:rsid w:val="000533A1"/>
    <w:rsid w:val="00053CBB"/>
    <w:rsid w:val="00056F96"/>
    <w:rsid w:val="000641AC"/>
    <w:rsid w:val="00064582"/>
    <w:rsid w:val="0006466A"/>
    <w:rsid w:val="00064F93"/>
    <w:rsid w:val="00066DAF"/>
    <w:rsid w:val="0006764E"/>
    <w:rsid w:val="00067EF3"/>
    <w:rsid w:val="0007058F"/>
    <w:rsid w:val="0007091A"/>
    <w:rsid w:val="00072097"/>
    <w:rsid w:val="00072F27"/>
    <w:rsid w:val="00075E68"/>
    <w:rsid w:val="00092F17"/>
    <w:rsid w:val="00093820"/>
    <w:rsid w:val="000963D1"/>
    <w:rsid w:val="000A2682"/>
    <w:rsid w:val="000A28EC"/>
    <w:rsid w:val="000A6E36"/>
    <w:rsid w:val="000B0D7B"/>
    <w:rsid w:val="000B21A4"/>
    <w:rsid w:val="000B600B"/>
    <w:rsid w:val="000B631B"/>
    <w:rsid w:val="000C3043"/>
    <w:rsid w:val="000C3D89"/>
    <w:rsid w:val="000D320A"/>
    <w:rsid w:val="000D5ABA"/>
    <w:rsid w:val="000E4A00"/>
    <w:rsid w:val="000E4C59"/>
    <w:rsid w:val="000E5F12"/>
    <w:rsid w:val="00100EAD"/>
    <w:rsid w:val="00101945"/>
    <w:rsid w:val="00104FC6"/>
    <w:rsid w:val="00106497"/>
    <w:rsid w:val="001078B3"/>
    <w:rsid w:val="0010797E"/>
    <w:rsid w:val="00112CE0"/>
    <w:rsid w:val="001168E6"/>
    <w:rsid w:val="00117B3B"/>
    <w:rsid w:val="00125FC6"/>
    <w:rsid w:val="00126D4C"/>
    <w:rsid w:val="00126E5E"/>
    <w:rsid w:val="00131F30"/>
    <w:rsid w:val="0013409D"/>
    <w:rsid w:val="001378A7"/>
    <w:rsid w:val="00143D42"/>
    <w:rsid w:val="00145251"/>
    <w:rsid w:val="00150968"/>
    <w:rsid w:val="001520F4"/>
    <w:rsid w:val="00152183"/>
    <w:rsid w:val="00155A89"/>
    <w:rsid w:val="0015613F"/>
    <w:rsid w:val="00156B17"/>
    <w:rsid w:val="001662DB"/>
    <w:rsid w:val="00171EEF"/>
    <w:rsid w:val="00174C2B"/>
    <w:rsid w:val="00176365"/>
    <w:rsid w:val="001765CD"/>
    <w:rsid w:val="00177F39"/>
    <w:rsid w:val="0018243E"/>
    <w:rsid w:val="00185237"/>
    <w:rsid w:val="00185AB2"/>
    <w:rsid w:val="00187B1C"/>
    <w:rsid w:val="0019052B"/>
    <w:rsid w:val="00192A65"/>
    <w:rsid w:val="0019462E"/>
    <w:rsid w:val="00197538"/>
    <w:rsid w:val="001A53A1"/>
    <w:rsid w:val="001A5788"/>
    <w:rsid w:val="001A5861"/>
    <w:rsid w:val="001A5E8D"/>
    <w:rsid w:val="001A66D3"/>
    <w:rsid w:val="001B00F6"/>
    <w:rsid w:val="001B4212"/>
    <w:rsid w:val="001B706B"/>
    <w:rsid w:val="001B7722"/>
    <w:rsid w:val="001C5E1D"/>
    <w:rsid w:val="001D0642"/>
    <w:rsid w:val="001D3A9C"/>
    <w:rsid w:val="001D75AB"/>
    <w:rsid w:val="001E085C"/>
    <w:rsid w:val="001E09BC"/>
    <w:rsid w:val="001E41C1"/>
    <w:rsid w:val="001E58C8"/>
    <w:rsid w:val="001F0CF0"/>
    <w:rsid w:val="001F3D4E"/>
    <w:rsid w:val="001F55AA"/>
    <w:rsid w:val="001F6224"/>
    <w:rsid w:val="001F6860"/>
    <w:rsid w:val="001F72B2"/>
    <w:rsid w:val="0020480B"/>
    <w:rsid w:val="002118A0"/>
    <w:rsid w:val="00212F37"/>
    <w:rsid w:val="00213374"/>
    <w:rsid w:val="002164E6"/>
    <w:rsid w:val="00220C36"/>
    <w:rsid w:val="00220EF9"/>
    <w:rsid w:val="00221128"/>
    <w:rsid w:val="00221179"/>
    <w:rsid w:val="00221FAD"/>
    <w:rsid w:val="00222554"/>
    <w:rsid w:val="002303F1"/>
    <w:rsid w:val="00232ACF"/>
    <w:rsid w:val="0023417D"/>
    <w:rsid w:val="00242198"/>
    <w:rsid w:val="00243530"/>
    <w:rsid w:val="002448D8"/>
    <w:rsid w:val="00247E5D"/>
    <w:rsid w:val="002516CB"/>
    <w:rsid w:val="00251C34"/>
    <w:rsid w:val="002527E5"/>
    <w:rsid w:val="00253AB7"/>
    <w:rsid w:val="00253DA3"/>
    <w:rsid w:val="00255AF7"/>
    <w:rsid w:val="00260A14"/>
    <w:rsid w:val="00263AFC"/>
    <w:rsid w:val="00266640"/>
    <w:rsid w:val="00267769"/>
    <w:rsid w:val="0027076C"/>
    <w:rsid w:val="0027337F"/>
    <w:rsid w:val="00275DE5"/>
    <w:rsid w:val="00276CA9"/>
    <w:rsid w:val="002771B4"/>
    <w:rsid w:val="0027732E"/>
    <w:rsid w:val="002867EB"/>
    <w:rsid w:val="0029460B"/>
    <w:rsid w:val="002946AF"/>
    <w:rsid w:val="0029568E"/>
    <w:rsid w:val="002A21B5"/>
    <w:rsid w:val="002A6DED"/>
    <w:rsid w:val="002B2430"/>
    <w:rsid w:val="002B7EB1"/>
    <w:rsid w:val="002C493A"/>
    <w:rsid w:val="002C4E4D"/>
    <w:rsid w:val="002D02C8"/>
    <w:rsid w:val="002D162E"/>
    <w:rsid w:val="002D53EE"/>
    <w:rsid w:val="002D59BA"/>
    <w:rsid w:val="002D7CBA"/>
    <w:rsid w:val="002E0A1E"/>
    <w:rsid w:val="002E114D"/>
    <w:rsid w:val="002E13B0"/>
    <w:rsid w:val="002E20F7"/>
    <w:rsid w:val="002E2FC8"/>
    <w:rsid w:val="002E5733"/>
    <w:rsid w:val="002E7A27"/>
    <w:rsid w:val="002F018E"/>
    <w:rsid w:val="002F027B"/>
    <w:rsid w:val="002F0836"/>
    <w:rsid w:val="002F0FCF"/>
    <w:rsid w:val="002F1401"/>
    <w:rsid w:val="002F1867"/>
    <w:rsid w:val="002F2382"/>
    <w:rsid w:val="002F2901"/>
    <w:rsid w:val="002F5E51"/>
    <w:rsid w:val="002F7FA3"/>
    <w:rsid w:val="00300E91"/>
    <w:rsid w:val="003014A2"/>
    <w:rsid w:val="00303B73"/>
    <w:rsid w:val="00304A9F"/>
    <w:rsid w:val="00307B8B"/>
    <w:rsid w:val="00307C73"/>
    <w:rsid w:val="00307DD1"/>
    <w:rsid w:val="00311F1C"/>
    <w:rsid w:val="003155ED"/>
    <w:rsid w:val="00322F50"/>
    <w:rsid w:val="00324779"/>
    <w:rsid w:val="00325924"/>
    <w:rsid w:val="00325BA5"/>
    <w:rsid w:val="00326472"/>
    <w:rsid w:val="00326753"/>
    <w:rsid w:val="00326EEF"/>
    <w:rsid w:val="003312D8"/>
    <w:rsid w:val="003320E0"/>
    <w:rsid w:val="0033221A"/>
    <w:rsid w:val="00332CD8"/>
    <w:rsid w:val="00334103"/>
    <w:rsid w:val="00334BE5"/>
    <w:rsid w:val="00335953"/>
    <w:rsid w:val="00335CCD"/>
    <w:rsid w:val="00336442"/>
    <w:rsid w:val="0033757E"/>
    <w:rsid w:val="00340793"/>
    <w:rsid w:val="00341BC4"/>
    <w:rsid w:val="0034327C"/>
    <w:rsid w:val="00345393"/>
    <w:rsid w:val="00352E8E"/>
    <w:rsid w:val="003531F3"/>
    <w:rsid w:val="0035428D"/>
    <w:rsid w:val="003574E1"/>
    <w:rsid w:val="00365878"/>
    <w:rsid w:val="003749A7"/>
    <w:rsid w:val="00376208"/>
    <w:rsid w:val="00377FDC"/>
    <w:rsid w:val="00383ECD"/>
    <w:rsid w:val="00386775"/>
    <w:rsid w:val="00393BBB"/>
    <w:rsid w:val="003945DF"/>
    <w:rsid w:val="00396B3D"/>
    <w:rsid w:val="003A1399"/>
    <w:rsid w:val="003A2993"/>
    <w:rsid w:val="003A2AE9"/>
    <w:rsid w:val="003A433E"/>
    <w:rsid w:val="003B0C9B"/>
    <w:rsid w:val="003B1DEC"/>
    <w:rsid w:val="003B24BF"/>
    <w:rsid w:val="003B7257"/>
    <w:rsid w:val="003C4C5A"/>
    <w:rsid w:val="003C63C6"/>
    <w:rsid w:val="003D0B82"/>
    <w:rsid w:val="003D2E27"/>
    <w:rsid w:val="003D3791"/>
    <w:rsid w:val="003D4557"/>
    <w:rsid w:val="003D4B36"/>
    <w:rsid w:val="003D4F90"/>
    <w:rsid w:val="003D64EC"/>
    <w:rsid w:val="003D6B10"/>
    <w:rsid w:val="003E09E5"/>
    <w:rsid w:val="003E60C2"/>
    <w:rsid w:val="003E7E7E"/>
    <w:rsid w:val="003F34B0"/>
    <w:rsid w:val="003F4F84"/>
    <w:rsid w:val="003F6BEB"/>
    <w:rsid w:val="0040309E"/>
    <w:rsid w:val="004042B0"/>
    <w:rsid w:val="0041286D"/>
    <w:rsid w:val="00414E03"/>
    <w:rsid w:val="004150F5"/>
    <w:rsid w:val="00420564"/>
    <w:rsid w:val="004205CA"/>
    <w:rsid w:val="00420823"/>
    <w:rsid w:val="004239DD"/>
    <w:rsid w:val="00425739"/>
    <w:rsid w:val="004260D8"/>
    <w:rsid w:val="004306DB"/>
    <w:rsid w:val="00430761"/>
    <w:rsid w:val="00433844"/>
    <w:rsid w:val="00440316"/>
    <w:rsid w:val="00441199"/>
    <w:rsid w:val="004419D5"/>
    <w:rsid w:val="0044245E"/>
    <w:rsid w:val="00442642"/>
    <w:rsid w:val="00442895"/>
    <w:rsid w:val="00445C55"/>
    <w:rsid w:val="00446CAA"/>
    <w:rsid w:val="00452224"/>
    <w:rsid w:val="0045471B"/>
    <w:rsid w:val="004550C7"/>
    <w:rsid w:val="004566A2"/>
    <w:rsid w:val="0045722E"/>
    <w:rsid w:val="00457F6B"/>
    <w:rsid w:val="00460B9B"/>
    <w:rsid w:val="004621EF"/>
    <w:rsid w:val="004634B9"/>
    <w:rsid w:val="004707F7"/>
    <w:rsid w:val="00471DAD"/>
    <w:rsid w:val="0047549C"/>
    <w:rsid w:val="0047639F"/>
    <w:rsid w:val="00482A30"/>
    <w:rsid w:val="00482DB5"/>
    <w:rsid w:val="0048333D"/>
    <w:rsid w:val="00486E80"/>
    <w:rsid w:val="00492191"/>
    <w:rsid w:val="00494125"/>
    <w:rsid w:val="00497DBE"/>
    <w:rsid w:val="004A3F5E"/>
    <w:rsid w:val="004B2D9E"/>
    <w:rsid w:val="004C402D"/>
    <w:rsid w:val="004D0E96"/>
    <w:rsid w:val="004D147D"/>
    <w:rsid w:val="004D2044"/>
    <w:rsid w:val="004D2415"/>
    <w:rsid w:val="004D6DD9"/>
    <w:rsid w:val="004E12AD"/>
    <w:rsid w:val="004E5D7D"/>
    <w:rsid w:val="004F012D"/>
    <w:rsid w:val="004F0289"/>
    <w:rsid w:val="004F2108"/>
    <w:rsid w:val="004F25E7"/>
    <w:rsid w:val="004F2AFD"/>
    <w:rsid w:val="004F3CDE"/>
    <w:rsid w:val="004F4703"/>
    <w:rsid w:val="005020A8"/>
    <w:rsid w:val="00502B9A"/>
    <w:rsid w:val="005145A3"/>
    <w:rsid w:val="00514D65"/>
    <w:rsid w:val="00517F6E"/>
    <w:rsid w:val="00520B12"/>
    <w:rsid w:val="00523454"/>
    <w:rsid w:val="00523852"/>
    <w:rsid w:val="00525C54"/>
    <w:rsid w:val="00526606"/>
    <w:rsid w:val="00532AB6"/>
    <w:rsid w:val="0053641D"/>
    <w:rsid w:val="005364C0"/>
    <w:rsid w:val="00541DBE"/>
    <w:rsid w:val="00542D72"/>
    <w:rsid w:val="0054516B"/>
    <w:rsid w:val="00545987"/>
    <w:rsid w:val="00555EA2"/>
    <w:rsid w:val="00557E67"/>
    <w:rsid w:val="005627D1"/>
    <w:rsid w:val="005667D4"/>
    <w:rsid w:val="00566804"/>
    <w:rsid w:val="00567612"/>
    <w:rsid w:val="005710E0"/>
    <w:rsid w:val="005714F4"/>
    <w:rsid w:val="00571D23"/>
    <w:rsid w:val="00572F0F"/>
    <w:rsid w:val="00575232"/>
    <w:rsid w:val="00583ABA"/>
    <w:rsid w:val="0058538F"/>
    <w:rsid w:val="00590B66"/>
    <w:rsid w:val="00593DF6"/>
    <w:rsid w:val="005A25C3"/>
    <w:rsid w:val="005A554B"/>
    <w:rsid w:val="005B1FEB"/>
    <w:rsid w:val="005B2C05"/>
    <w:rsid w:val="005B339E"/>
    <w:rsid w:val="005B4622"/>
    <w:rsid w:val="005B5F54"/>
    <w:rsid w:val="005B7C90"/>
    <w:rsid w:val="005C5984"/>
    <w:rsid w:val="005C6686"/>
    <w:rsid w:val="005C696A"/>
    <w:rsid w:val="005D083E"/>
    <w:rsid w:val="005D0FE9"/>
    <w:rsid w:val="005D26ED"/>
    <w:rsid w:val="005D2CED"/>
    <w:rsid w:val="005D45E0"/>
    <w:rsid w:val="005E1582"/>
    <w:rsid w:val="005E5BA2"/>
    <w:rsid w:val="005E5E23"/>
    <w:rsid w:val="005E66A9"/>
    <w:rsid w:val="005F27B4"/>
    <w:rsid w:val="005F5684"/>
    <w:rsid w:val="005F6451"/>
    <w:rsid w:val="005F7E90"/>
    <w:rsid w:val="00601316"/>
    <w:rsid w:val="006025AE"/>
    <w:rsid w:val="006026A6"/>
    <w:rsid w:val="00603812"/>
    <w:rsid w:val="00606D95"/>
    <w:rsid w:val="0061362F"/>
    <w:rsid w:val="0062487F"/>
    <w:rsid w:val="00633876"/>
    <w:rsid w:val="00641280"/>
    <w:rsid w:val="006441A0"/>
    <w:rsid w:val="006446A1"/>
    <w:rsid w:val="0064495E"/>
    <w:rsid w:val="00645F4E"/>
    <w:rsid w:val="00651589"/>
    <w:rsid w:val="00651E2C"/>
    <w:rsid w:val="00651EE1"/>
    <w:rsid w:val="00655074"/>
    <w:rsid w:val="00656892"/>
    <w:rsid w:val="006575DD"/>
    <w:rsid w:val="00661FA3"/>
    <w:rsid w:val="00665AFB"/>
    <w:rsid w:val="00670484"/>
    <w:rsid w:val="00673720"/>
    <w:rsid w:val="006737AB"/>
    <w:rsid w:val="00675BC1"/>
    <w:rsid w:val="00681824"/>
    <w:rsid w:val="00681C90"/>
    <w:rsid w:val="006829F2"/>
    <w:rsid w:val="00690A94"/>
    <w:rsid w:val="0069519C"/>
    <w:rsid w:val="00696EC5"/>
    <w:rsid w:val="00697FA3"/>
    <w:rsid w:val="006A2A57"/>
    <w:rsid w:val="006A2B15"/>
    <w:rsid w:val="006A3899"/>
    <w:rsid w:val="006A60A6"/>
    <w:rsid w:val="006B1359"/>
    <w:rsid w:val="006B32E7"/>
    <w:rsid w:val="006B3309"/>
    <w:rsid w:val="006B3994"/>
    <w:rsid w:val="006C1521"/>
    <w:rsid w:val="006C2919"/>
    <w:rsid w:val="006C37D5"/>
    <w:rsid w:val="006C5850"/>
    <w:rsid w:val="006D27ED"/>
    <w:rsid w:val="006D3840"/>
    <w:rsid w:val="006D4696"/>
    <w:rsid w:val="006D4A83"/>
    <w:rsid w:val="006D6F73"/>
    <w:rsid w:val="006D7886"/>
    <w:rsid w:val="006E1F8B"/>
    <w:rsid w:val="006E2195"/>
    <w:rsid w:val="006E7CDA"/>
    <w:rsid w:val="006F210E"/>
    <w:rsid w:val="006F3D1C"/>
    <w:rsid w:val="006F3E7B"/>
    <w:rsid w:val="006F61C5"/>
    <w:rsid w:val="006F73F2"/>
    <w:rsid w:val="006F7EE3"/>
    <w:rsid w:val="00702B0A"/>
    <w:rsid w:val="0070359F"/>
    <w:rsid w:val="00716C86"/>
    <w:rsid w:val="00717FEA"/>
    <w:rsid w:val="00721997"/>
    <w:rsid w:val="00734119"/>
    <w:rsid w:val="007371D0"/>
    <w:rsid w:val="00741311"/>
    <w:rsid w:val="00742B98"/>
    <w:rsid w:val="00754C5C"/>
    <w:rsid w:val="00757513"/>
    <w:rsid w:val="00760603"/>
    <w:rsid w:val="00761DB2"/>
    <w:rsid w:val="007628E5"/>
    <w:rsid w:val="007637F6"/>
    <w:rsid w:val="007662C8"/>
    <w:rsid w:val="007673C1"/>
    <w:rsid w:val="007740DF"/>
    <w:rsid w:val="00774C55"/>
    <w:rsid w:val="00777DB5"/>
    <w:rsid w:val="0078411D"/>
    <w:rsid w:val="00785ECF"/>
    <w:rsid w:val="00785F49"/>
    <w:rsid w:val="00795629"/>
    <w:rsid w:val="00795BE5"/>
    <w:rsid w:val="007A0618"/>
    <w:rsid w:val="007A0821"/>
    <w:rsid w:val="007A274B"/>
    <w:rsid w:val="007A38AF"/>
    <w:rsid w:val="007A3B08"/>
    <w:rsid w:val="007B0876"/>
    <w:rsid w:val="007B2A84"/>
    <w:rsid w:val="007B542D"/>
    <w:rsid w:val="007C4082"/>
    <w:rsid w:val="007C52DC"/>
    <w:rsid w:val="007C5B6C"/>
    <w:rsid w:val="007C5E3D"/>
    <w:rsid w:val="007D23FF"/>
    <w:rsid w:val="007D59B1"/>
    <w:rsid w:val="007E57A9"/>
    <w:rsid w:val="007E5B75"/>
    <w:rsid w:val="007E74DD"/>
    <w:rsid w:val="007F1892"/>
    <w:rsid w:val="007F1ED2"/>
    <w:rsid w:val="007F2C5D"/>
    <w:rsid w:val="007F2C7A"/>
    <w:rsid w:val="0080046C"/>
    <w:rsid w:val="00804EF8"/>
    <w:rsid w:val="0080579A"/>
    <w:rsid w:val="00806F21"/>
    <w:rsid w:val="008075E0"/>
    <w:rsid w:val="00810D05"/>
    <w:rsid w:val="0081493D"/>
    <w:rsid w:val="008175BB"/>
    <w:rsid w:val="00820D85"/>
    <w:rsid w:val="00831C4E"/>
    <w:rsid w:val="0083209A"/>
    <w:rsid w:val="00837B45"/>
    <w:rsid w:val="008403AE"/>
    <w:rsid w:val="008468D4"/>
    <w:rsid w:val="00846CD1"/>
    <w:rsid w:val="00846FFB"/>
    <w:rsid w:val="00850E9E"/>
    <w:rsid w:val="008568AE"/>
    <w:rsid w:val="00863E8C"/>
    <w:rsid w:val="008707C3"/>
    <w:rsid w:val="00870C2A"/>
    <w:rsid w:val="008753CB"/>
    <w:rsid w:val="008819FC"/>
    <w:rsid w:val="00882C82"/>
    <w:rsid w:val="0088522A"/>
    <w:rsid w:val="00887B23"/>
    <w:rsid w:val="00890536"/>
    <w:rsid w:val="00891A63"/>
    <w:rsid w:val="008A0622"/>
    <w:rsid w:val="008A31B7"/>
    <w:rsid w:val="008A328F"/>
    <w:rsid w:val="008A573C"/>
    <w:rsid w:val="008A6955"/>
    <w:rsid w:val="008A6A5F"/>
    <w:rsid w:val="008B163E"/>
    <w:rsid w:val="008B3455"/>
    <w:rsid w:val="008B56F9"/>
    <w:rsid w:val="008B5F74"/>
    <w:rsid w:val="008B7310"/>
    <w:rsid w:val="008C47CB"/>
    <w:rsid w:val="008C529B"/>
    <w:rsid w:val="008C6BC4"/>
    <w:rsid w:val="008D1B4D"/>
    <w:rsid w:val="008D1C6E"/>
    <w:rsid w:val="008D1D86"/>
    <w:rsid w:val="008D2042"/>
    <w:rsid w:val="008D35BE"/>
    <w:rsid w:val="008D4E95"/>
    <w:rsid w:val="008D7C49"/>
    <w:rsid w:val="008E3A66"/>
    <w:rsid w:val="008E5A77"/>
    <w:rsid w:val="008E7E1F"/>
    <w:rsid w:val="008F04CB"/>
    <w:rsid w:val="008F172F"/>
    <w:rsid w:val="008F55B3"/>
    <w:rsid w:val="00900644"/>
    <w:rsid w:val="009011ED"/>
    <w:rsid w:val="009047F4"/>
    <w:rsid w:val="009156DD"/>
    <w:rsid w:val="00917293"/>
    <w:rsid w:val="0092052E"/>
    <w:rsid w:val="00921965"/>
    <w:rsid w:val="00923052"/>
    <w:rsid w:val="0093093A"/>
    <w:rsid w:val="00931097"/>
    <w:rsid w:val="00931D26"/>
    <w:rsid w:val="00933FDD"/>
    <w:rsid w:val="00935E00"/>
    <w:rsid w:val="0094080A"/>
    <w:rsid w:val="009424A2"/>
    <w:rsid w:val="009433AA"/>
    <w:rsid w:val="0094712C"/>
    <w:rsid w:val="0095229D"/>
    <w:rsid w:val="00953A3A"/>
    <w:rsid w:val="00953BF9"/>
    <w:rsid w:val="00957076"/>
    <w:rsid w:val="00960190"/>
    <w:rsid w:val="00965CB2"/>
    <w:rsid w:val="009718D1"/>
    <w:rsid w:val="00971D71"/>
    <w:rsid w:val="00972A7B"/>
    <w:rsid w:val="009739D7"/>
    <w:rsid w:val="00977598"/>
    <w:rsid w:val="0098237C"/>
    <w:rsid w:val="00984227"/>
    <w:rsid w:val="00984937"/>
    <w:rsid w:val="009904B1"/>
    <w:rsid w:val="00990D3E"/>
    <w:rsid w:val="0099275F"/>
    <w:rsid w:val="009934AD"/>
    <w:rsid w:val="00993BB3"/>
    <w:rsid w:val="00995528"/>
    <w:rsid w:val="00995E03"/>
    <w:rsid w:val="00997D92"/>
    <w:rsid w:val="009A21D5"/>
    <w:rsid w:val="009A4334"/>
    <w:rsid w:val="009A49E0"/>
    <w:rsid w:val="009A6875"/>
    <w:rsid w:val="009B0DE1"/>
    <w:rsid w:val="009B4702"/>
    <w:rsid w:val="009B6250"/>
    <w:rsid w:val="009B7F1B"/>
    <w:rsid w:val="009C0258"/>
    <w:rsid w:val="009C077E"/>
    <w:rsid w:val="009C3470"/>
    <w:rsid w:val="009C477D"/>
    <w:rsid w:val="009C4959"/>
    <w:rsid w:val="009C51A4"/>
    <w:rsid w:val="009C60ED"/>
    <w:rsid w:val="009C6544"/>
    <w:rsid w:val="009D042C"/>
    <w:rsid w:val="009D1930"/>
    <w:rsid w:val="009D3C6B"/>
    <w:rsid w:val="009D5025"/>
    <w:rsid w:val="009D60DA"/>
    <w:rsid w:val="009D70F5"/>
    <w:rsid w:val="009D75D0"/>
    <w:rsid w:val="009D797F"/>
    <w:rsid w:val="009E27F6"/>
    <w:rsid w:val="009E2A29"/>
    <w:rsid w:val="009E2BF4"/>
    <w:rsid w:val="009E37C5"/>
    <w:rsid w:val="009E51E2"/>
    <w:rsid w:val="009E6A6A"/>
    <w:rsid w:val="009F011B"/>
    <w:rsid w:val="009F0567"/>
    <w:rsid w:val="009F4BD3"/>
    <w:rsid w:val="00A02BF3"/>
    <w:rsid w:val="00A034AC"/>
    <w:rsid w:val="00A0451E"/>
    <w:rsid w:val="00A052A3"/>
    <w:rsid w:val="00A06F23"/>
    <w:rsid w:val="00A10214"/>
    <w:rsid w:val="00A12F07"/>
    <w:rsid w:val="00A17914"/>
    <w:rsid w:val="00A319FD"/>
    <w:rsid w:val="00A31F17"/>
    <w:rsid w:val="00A32084"/>
    <w:rsid w:val="00A33679"/>
    <w:rsid w:val="00A35988"/>
    <w:rsid w:val="00A37AF4"/>
    <w:rsid w:val="00A40837"/>
    <w:rsid w:val="00A4144E"/>
    <w:rsid w:val="00A42CD7"/>
    <w:rsid w:val="00A43CB6"/>
    <w:rsid w:val="00A51FF4"/>
    <w:rsid w:val="00A532FF"/>
    <w:rsid w:val="00A553DA"/>
    <w:rsid w:val="00A60875"/>
    <w:rsid w:val="00A61E35"/>
    <w:rsid w:val="00A66B3C"/>
    <w:rsid w:val="00A672DC"/>
    <w:rsid w:val="00A67C5D"/>
    <w:rsid w:val="00A8378A"/>
    <w:rsid w:val="00A87A07"/>
    <w:rsid w:val="00A9306F"/>
    <w:rsid w:val="00AA33F8"/>
    <w:rsid w:val="00AA5E85"/>
    <w:rsid w:val="00AB01C8"/>
    <w:rsid w:val="00AB1AD3"/>
    <w:rsid w:val="00AB2231"/>
    <w:rsid w:val="00AB3E6F"/>
    <w:rsid w:val="00AB64BC"/>
    <w:rsid w:val="00AB6A11"/>
    <w:rsid w:val="00AC0615"/>
    <w:rsid w:val="00AC1B00"/>
    <w:rsid w:val="00AC3E72"/>
    <w:rsid w:val="00AC6F08"/>
    <w:rsid w:val="00AC7A38"/>
    <w:rsid w:val="00AD0A89"/>
    <w:rsid w:val="00AD410A"/>
    <w:rsid w:val="00AD557D"/>
    <w:rsid w:val="00AD5B83"/>
    <w:rsid w:val="00AD65CE"/>
    <w:rsid w:val="00AD7D41"/>
    <w:rsid w:val="00AD7D61"/>
    <w:rsid w:val="00AE148E"/>
    <w:rsid w:val="00AE237C"/>
    <w:rsid w:val="00AE412D"/>
    <w:rsid w:val="00AE4AEA"/>
    <w:rsid w:val="00AE61BD"/>
    <w:rsid w:val="00AE6381"/>
    <w:rsid w:val="00AF0104"/>
    <w:rsid w:val="00AF091B"/>
    <w:rsid w:val="00AF0CBD"/>
    <w:rsid w:val="00AF3D82"/>
    <w:rsid w:val="00AF7079"/>
    <w:rsid w:val="00B014BE"/>
    <w:rsid w:val="00B101DF"/>
    <w:rsid w:val="00B11C5A"/>
    <w:rsid w:val="00B11F70"/>
    <w:rsid w:val="00B1792D"/>
    <w:rsid w:val="00B220D9"/>
    <w:rsid w:val="00B25FE8"/>
    <w:rsid w:val="00B26BFB"/>
    <w:rsid w:val="00B32207"/>
    <w:rsid w:val="00B32B9A"/>
    <w:rsid w:val="00B412A6"/>
    <w:rsid w:val="00B45886"/>
    <w:rsid w:val="00B46B35"/>
    <w:rsid w:val="00B46CDA"/>
    <w:rsid w:val="00B46D40"/>
    <w:rsid w:val="00B542DA"/>
    <w:rsid w:val="00B569F0"/>
    <w:rsid w:val="00B60E05"/>
    <w:rsid w:val="00B6586E"/>
    <w:rsid w:val="00B7031F"/>
    <w:rsid w:val="00B70CAB"/>
    <w:rsid w:val="00B70EA6"/>
    <w:rsid w:val="00B7479F"/>
    <w:rsid w:val="00B7562F"/>
    <w:rsid w:val="00B776B1"/>
    <w:rsid w:val="00B80900"/>
    <w:rsid w:val="00B81B57"/>
    <w:rsid w:val="00B825E5"/>
    <w:rsid w:val="00B83DF0"/>
    <w:rsid w:val="00B87780"/>
    <w:rsid w:val="00B909BF"/>
    <w:rsid w:val="00B93A8E"/>
    <w:rsid w:val="00B948EB"/>
    <w:rsid w:val="00BA11DA"/>
    <w:rsid w:val="00BA423E"/>
    <w:rsid w:val="00BB0D1C"/>
    <w:rsid w:val="00BB4735"/>
    <w:rsid w:val="00BB4861"/>
    <w:rsid w:val="00BC3509"/>
    <w:rsid w:val="00BC473F"/>
    <w:rsid w:val="00BD3213"/>
    <w:rsid w:val="00BD3840"/>
    <w:rsid w:val="00BD38D7"/>
    <w:rsid w:val="00BD3E70"/>
    <w:rsid w:val="00BE0398"/>
    <w:rsid w:val="00BE3C12"/>
    <w:rsid w:val="00BE5B92"/>
    <w:rsid w:val="00BF124A"/>
    <w:rsid w:val="00BF162A"/>
    <w:rsid w:val="00BF7789"/>
    <w:rsid w:val="00BF7D31"/>
    <w:rsid w:val="00C01D4F"/>
    <w:rsid w:val="00C050F4"/>
    <w:rsid w:val="00C05232"/>
    <w:rsid w:val="00C06C17"/>
    <w:rsid w:val="00C1183D"/>
    <w:rsid w:val="00C12503"/>
    <w:rsid w:val="00C14964"/>
    <w:rsid w:val="00C14D24"/>
    <w:rsid w:val="00C23F79"/>
    <w:rsid w:val="00C30F58"/>
    <w:rsid w:val="00C341BD"/>
    <w:rsid w:val="00C3673D"/>
    <w:rsid w:val="00C41242"/>
    <w:rsid w:val="00C446CD"/>
    <w:rsid w:val="00C45B11"/>
    <w:rsid w:val="00C52454"/>
    <w:rsid w:val="00C52F14"/>
    <w:rsid w:val="00C53048"/>
    <w:rsid w:val="00C544B4"/>
    <w:rsid w:val="00C54FDE"/>
    <w:rsid w:val="00C65ECF"/>
    <w:rsid w:val="00C75F67"/>
    <w:rsid w:val="00C81F71"/>
    <w:rsid w:val="00C82A47"/>
    <w:rsid w:val="00C83DF2"/>
    <w:rsid w:val="00C83FFD"/>
    <w:rsid w:val="00C85FD7"/>
    <w:rsid w:val="00C93E2D"/>
    <w:rsid w:val="00C93E99"/>
    <w:rsid w:val="00C946E9"/>
    <w:rsid w:val="00C975A2"/>
    <w:rsid w:val="00CA1236"/>
    <w:rsid w:val="00CA1BA9"/>
    <w:rsid w:val="00CA6C1D"/>
    <w:rsid w:val="00CB0931"/>
    <w:rsid w:val="00CC2423"/>
    <w:rsid w:val="00CC41F9"/>
    <w:rsid w:val="00CC444E"/>
    <w:rsid w:val="00CC4D29"/>
    <w:rsid w:val="00CC52F9"/>
    <w:rsid w:val="00CD0391"/>
    <w:rsid w:val="00CD0890"/>
    <w:rsid w:val="00CD2649"/>
    <w:rsid w:val="00CD37A1"/>
    <w:rsid w:val="00CD55B7"/>
    <w:rsid w:val="00CD758B"/>
    <w:rsid w:val="00CE32FE"/>
    <w:rsid w:val="00CE36F4"/>
    <w:rsid w:val="00CF223F"/>
    <w:rsid w:val="00D02971"/>
    <w:rsid w:val="00D1414B"/>
    <w:rsid w:val="00D15A87"/>
    <w:rsid w:val="00D17E1A"/>
    <w:rsid w:val="00D200B9"/>
    <w:rsid w:val="00D21F0D"/>
    <w:rsid w:val="00D229BA"/>
    <w:rsid w:val="00D23BF0"/>
    <w:rsid w:val="00D2440D"/>
    <w:rsid w:val="00D302D1"/>
    <w:rsid w:val="00D320C2"/>
    <w:rsid w:val="00D34196"/>
    <w:rsid w:val="00D35254"/>
    <w:rsid w:val="00D40FB5"/>
    <w:rsid w:val="00D411C9"/>
    <w:rsid w:val="00D41E3B"/>
    <w:rsid w:val="00D42251"/>
    <w:rsid w:val="00D431BA"/>
    <w:rsid w:val="00D433F3"/>
    <w:rsid w:val="00D45B20"/>
    <w:rsid w:val="00D4735C"/>
    <w:rsid w:val="00D50342"/>
    <w:rsid w:val="00D52C19"/>
    <w:rsid w:val="00D55741"/>
    <w:rsid w:val="00D5637A"/>
    <w:rsid w:val="00D57E54"/>
    <w:rsid w:val="00D656D7"/>
    <w:rsid w:val="00D65E05"/>
    <w:rsid w:val="00D67A32"/>
    <w:rsid w:val="00D7072B"/>
    <w:rsid w:val="00D74E9F"/>
    <w:rsid w:val="00D767A3"/>
    <w:rsid w:val="00D77EC2"/>
    <w:rsid w:val="00D80B37"/>
    <w:rsid w:val="00D839CA"/>
    <w:rsid w:val="00D847E0"/>
    <w:rsid w:val="00D867F4"/>
    <w:rsid w:val="00D9195B"/>
    <w:rsid w:val="00D91B6C"/>
    <w:rsid w:val="00D952B2"/>
    <w:rsid w:val="00D95C6C"/>
    <w:rsid w:val="00D96C36"/>
    <w:rsid w:val="00DA17B4"/>
    <w:rsid w:val="00DA2A6A"/>
    <w:rsid w:val="00DB42A1"/>
    <w:rsid w:val="00DB7A04"/>
    <w:rsid w:val="00DC3BD6"/>
    <w:rsid w:val="00DC4CAC"/>
    <w:rsid w:val="00DD1FA8"/>
    <w:rsid w:val="00DD27F9"/>
    <w:rsid w:val="00DD3CDE"/>
    <w:rsid w:val="00DE09E0"/>
    <w:rsid w:val="00DE2F94"/>
    <w:rsid w:val="00DF2157"/>
    <w:rsid w:val="00DF3726"/>
    <w:rsid w:val="00DF44AF"/>
    <w:rsid w:val="00DF4BF7"/>
    <w:rsid w:val="00E0084C"/>
    <w:rsid w:val="00E030F8"/>
    <w:rsid w:val="00E03BAD"/>
    <w:rsid w:val="00E072E9"/>
    <w:rsid w:val="00E07761"/>
    <w:rsid w:val="00E10CF0"/>
    <w:rsid w:val="00E14ED4"/>
    <w:rsid w:val="00E159DF"/>
    <w:rsid w:val="00E20E31"/>
    <w:rsid w:val="00E232A6"/>
    <w:rsid w:val="00E26192"/>
    <w:rsid w:val="00E2628C"/>
    <w:rsid w:val="00E3054D"/>
    <w:rsid w:val="00E3331A"/>
    <w:rsid w:val="00E36F82"/>
    <w:rsid w:val="00E37890"/>
    <w:rsid w:val="00E421DF"/>
    <w:rsid w:val="00E47785"/>
    <w:rsid w:val="00E5020A"/>
    <w:rsid w:val="00E518F7"/>
    <w:rsid w:val="00E52946"/>
    <w:rsid w:val="00E576E4"/>
    <w:rsid w:val="00E61F36"/>
    <w:rsid w:val="00E6215E"/>
    <w:rsid w:val="00E62D8B"/>
    <w:rsid w:val="00E64F89"/>
    <w:rsid w:val="00E66AB5"/>
    <w:rsid w:val="00E6788E"/>
    <w:rsid w:val="00E70A8F"/>
    <w:rsid w:val="00E71729"/>
    <w:rsid w:val="00E7421C"/>
    <w:rsid w:val="00E74ECF"/>
    <w:rsid w:val="00E77222"/>
    <w:rsid w:val="00E840A7"/>
    <w:rsid w:val="00E855AB"/>
    <w:rsid w:val="00E86AAB"/>
    <w:rsid w:val="00E86E6B"/>
    <w:rsid w:val="00E911B6"/>
    <w:rsid w:val="00E916EF"/>
    <w:rsid w:val="00E92122"/>
    <w:rsid w:val="00E92C10"/>
    <w:rsid w:val="00E93BA0"/>
    <w:rsid w:val="00E9416B"/>
    <w:rsid w:val="00E94600"/>
    <w:rsid w:val="00EA0E3F"/>
    <w:rsid w:val="00EA3785"/>
    <w:rsid w:val="00EA46DC"/>
    <w:rsid w:val="00EB31E6"/>
    <w:rsid w:val="00EB4033"/>
    <w:rsid w:val="00EB6189"/>
    <w:rsid w:val="00EB7C6D"/>
    <w:rsid w:val="00EC1CEA"/>
    <w:rsid w:val="00EC4016"/>
    <w:rsid w:val="00EC5D23"/>
    <w:rsid w:val="00EC69D4"/>
    <w:rsid w:val="00EC79AF"/>
    <w:rsid w:val="00ED05AC"/>
    <w:rsid w:val="00ED1844"/>
    <w:rsid w:val="00ED221C"/>
    <w:rsid w:val="00ED4DA8"/>
    <w:rsid w:val="00ED7A1D"/>
    <w:rsid w:val="00EE09C9"/>
    <w:rsid w:val="00EE175C"/>
    <w:rsid w:val="00EE3A2A"/>
    <w:rsid w:val="00EE3BDA"/>
    <w:rsid w:val="00EE4D3A"/>
    <w:rsid w:val="00EE546D"/>
    <w:rsid w:val="00EE57D5"/>
    <w:rsid w:val="00EE748F"/>
    <w:rsid w:val="00EF171B"/>
    <w:rsid w:val="00EF39E6"/>
    <w:rsid w:val="00EF4F6A"/>
    <w:rsid w:val="00EF5D20"/>
    <w:rsid w:val="00EF64B3"/>
    <w:rsid w:val="00EF734F"/>
    <w:rsid w:val="00EF7C73"/>
    <w:rsid w:val="00F060B2"/>
    <w:rsid w:val="00F06CB3"/>
    <w:rsid w:val="00F070AC"/>
    <w:rsid w:val="00F1138E"/>
    <w:rsid w:val="00F16748"/>
    <w:rsid w:val="00F171F3"/>
    <w:rsid w:val="00F17AF1"/>
    <w:rsid w:val="00F20E48"/>
    <w:rsid w:val="00F22FB6"/>
    <w:rsid w:val="00F231EC"/>
    <w:rsid w:val="00F32EC3"/>
    <w:rsid w:val="00F35E3A"/>
    <w:rsid w:val="00F370A8"/>
    <w:rsid w:val="00F40717"/>
    <w:rsid w:val="00F40CD3"/>
    <w:rsid w:val="00F45FAC"/>
    <w:rsid w:val="00F509C6"/>
    <w:rsid w:val="00F55821"/>
    <w:rsid w:val="00F57FEC"/>
    <w:rsid w:val="00F62D2B"/>
    <w:rsid w:val="00F635A3"/>
    <w:rsid w:val="00F65984"/>
    <w:rsid w:val="00F6600C"/>
    <w:rsid w:val="00F671A1"/>
    <w:rsid w:val="00F67A4A"/>
    <w:rsid w:val="00F73FC5"/>
    <w:rsid w:val="00F75DA0"/>
    <w:rsid w:val="00F804CE"/>
    <w:rsid w:val="00F80588"/>
    <w:rsid w:val="00F81797"/>
    <w:rsid w:val="00F907DD"/>
    <w:rsid w:val="00F90A30"/>
    <w:rsid w:val="00F90F6A"/>
    <w:rsid w:val="00F92664"/>
    <w:rsid w:val="00F930DC"/>
    <w:rsid w:val="00F93B9F"/>
    <w:rsid w:val="00FA0E50"/>
    <w:rsid w:val="00FA10A6"/>
    <w:rsid w:val="00FA1C7E"/>
    <w:rsid w:val="00FA2065"/>
    <w:rsid w:val="00FA3D9F"/>
    <w:rsid w:val="00FA4A72"/>
    <w:rsid w:val="00FA61E5"/>
    <w:rsid w:val="00FA7123"/>
    <w:rsid w:val="00FB1939"/>
    <w:rsid w:val="00FB38DF"/>
    <w:rsid w:val="00FC449C"/>
    <w:rsid w:val="00FC5A74"/>
    <w:rsid w:val="00FD493A"/>
    <w:rsid w:val="00FD530B"/>
    <w:rsid w:val="00FD67A4"/>
    <w:rsid w:val="00FE3458"/>
    <w:rsid w:val="00FE4064"/>
    <w:rsid w:val="00FE430D"/>
    <w:rsid w:val="00FE497C"/>
    <w:rsid w:val="00FF199B"/>
    <w:rsid w:val="00FF2B87"/>
    <w:rsid w:val="00FF455F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7E3C74-AAF7-438B-BC7A-0900A2E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741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MD" w:eastAsia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F39E6"/>
  </w:style>
  <w:style w:type="paragraph" w:styleId="Subsol">
    <w:name w:val="footer"/>
    <w:basedOn w:val="Normal"/>
    <w:link w:val="SubsolCaracter"/>
    <w:uiPriority w:val="99"/>
    <w:unhideWhenUsed/>
    <w:rsid w:val="00EF3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F39E6"/>
  </w:style>
  <w:style w:type="paragraph" w:styleId="TextnBalon">
    <w:name w:val="Balloon Text"/>
    <w:basedOn w:val="Normal"/>
    <w:link w:val="TextnBalonCaracter"/>
    <w:uiPriority w:val="99"/>
    <w:semiHidden/>
    <w:unhideWhenUsed/>
    <w:rsid w:val="00E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F39E6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EF39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4621E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8D1C6E"/>
    <w:pPr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rsid w:val="00BD38D7"/>
    <w:rPr>
      <w:color w:val="0000FF" w:themeColor="hyperlink"/>
      <w:u w:val="single"/>
    </w:rPr>
  </w:style>
  <w:style w:type="paragraph" w:customStyle="1" w:styleId="tt">
    <w:name w:val="tt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  <w:style w:type="paragraph" w:customStyle="1" w:styleId="cn">
    <w:name w:val="cn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9F05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741311"/>
    <w:rPr>
      <w:rFonts w:ascii="Times New Roman" w:eastAsia="Times New Roman" w:hAnsi="Times New Roman" w:cs="Times New Roman"/>
      <w:b/>
      <w:bCs/>
      <w:sz w:val="36"/>
      <w:szCs w:val="36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6929D-5E97-4899-968A-17244E064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APP</cp:lastModifiedBy>
  <cp:revision>2</cp:revision>
  <cp:lastPrinted>2020-10-27T11:22:00Z</cp:lastPrinted>
  <dcterms:created xsi:type="dcterms:W3CDTF">2020-11-30T08:08:00Z</dcterms:created>
  <dcterms:modified xsi:type="dcterms:W3CDTF">2020-11-30T08:08:00Z</dcterms:modified>
</cp:coreProperties>
</file>